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A5" w:rsidRDefault="003A33A5">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3A33A5" w:rsidRDefault="003A33A5">
      <w:pPr>
        <w:pStyle w:val="newncpi"/>
        <w:ind w:firstLine="0"/>
        <w:jc w:val="center"/>
      </w:pPr>
      <w:r>
        <w:rPr>
          <w:rStyle w:val="datepr"/>
        </w:rPr>
        <w:t>25 сентября 2014 г.</w:t>
      </w:r>
      <w:r>
        <w:rPr>
          <w:rStyle w:val="number"/>
        </w:rPr>
        <w:t xml:space="preserve"> № 50</w:t>
      </w:r>
    </w:p>
    <w:p w:rsidR="003A33A5" w:rsidRDefault="003A33A5">
      <w:pPr>
        <w:pStyle w:val="title"/>
      </w:pPr>
      <w:r>
        <w:t>Об установлении перечня и количества товаров для личного пользования</w:t>
      </w:r>
    </w:p>
    <w:p w:rsidR="003A33A5" w:rsidRDefault="003A33A5">
      <w:pPr>
        <w:pStyle w:val="changei"/>
      </w:pPr>
      <w:r>
        <w:t>Изменения и дополнения:</w:t>
      </w:r>
    </w:p>
    <w:p w:rsidR="003A33A5" w:rsidRDefault="003A33A5">
      <w:pPr>
        <w:pStyle w:val="changeadd"/>
      </w:pPr>
      <w:r>
        <w:t>Постановление Государственного таможенного комитета Республики Беларусь от 30 сентября 2015 г. № 21 (зарегистрировано в Национальном реестре - № 8/30281 от 12.10.2015 г.) &lt;W21530281&gt;;</w:t>
      </w:r>
    </w:p>
    <w:p w:rsidR="003A33A5" w:rsidRDefault="003A33A5">
      <w:pPr>
        <w:pStyle w:val="changeadd"/>
      </w:pPr>
      <w:r>
        <w:t>Постановление Государственного таможенного комитета Республики Беларусь от 26 сентября 2022 г. № 78 (зарегистрировано в Национальном реестре - № 8/38825 от 05.10.2022 г.) &lt;W22238825&gt; - внесены изменения и дополнения, вступившие в силу 7 октября 2022 г., за исключением изменений и дополнений, которые вступят в силу 8 октября 2022 г.;</w:t>
      </w:r>
    </w:p>
    <w:p w:rsidR="003A33A5" w:rsidRDefault="003A33A5">
      <w:pPr>
        <w:pStyle w:val="changeadd"/>
      </w:pPr>
      <w:r>
        <w:t>Постановление Государственного таможенного комитета Республики Беларусь от 26 сентября 2022 г. № 78 (зарегистрировано в Национальном реестре - № 8/38825 от 05.10.2022 г.) &lt;W22238825&gt; - внесены изменения и дополнения, вступившие в силу 7 октября 2022 г. и 8 октября 2022 г.;</w:t>
      </w:r>
    </w:p>
    <w:p w:rsidR="003A33A5" w:rsidRDefault="003A33A5">
      <w:pPr>
        <w:pStyle w:val="changeadd"/>
      </w:pPr>
      <w:r>
        <w:t>Постановление Государственного таможенного комитета Республики Беларусь от 4 июня 2024 г. № 30 (зарегистрировано в Национальном реестре - № 8/41704 от 12.06.2024 г.) &lt;W22441704&gt;</w:t>
      </w:r>
    </w:p>
    <w:p w:rsidR="003A33A5" w:rsidRDefault="003A33A5">
      <w:pPr>
        <w:pStyle w:val="newncpi"/>
      </w:pPr>
      <w:r>
        <w:t> </w:t>
      </w:r>
    </w:p>
    <w:p w:rsidR="003A33A5" w:rsidRDefault="003A33A5">
      <w:pPr>
        <w:pStyle w:val="newncpi"/>
      </w:pPr>
      <w:r>
        <w:t>На основании абзаца второго подпункта 1.7 пункта 1 Указа Президента Республики Беларусь от 21 июля 2014 г. № 360 «О перемещении товаров для личного пользования», подпункта 10.7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3A33A5" w:rsidRDefault="003A33A5">
      <w:pPr>
        <w:pStyle w:val="point"/>
      </w:pPr>
      <w:r>
        <w:t>1. Установить перечень и количество товаров для личного пользования, ввозимых в Республику Беларусь и вывозимых из Республики Беларусь через пункты упрощенного пропуска через Государственную границу Республики Беларусь в сопровождаемом багаже физических лиц, согласно приложению.</w:t>
      </w:r>
    </w:p>
    <w:p w:rsidR="003A33A5" w:rsidRDefault="003A33A5">
      <w:pPr>
        <w:pStyle w:val="point"/>
      </w:pPr>
      <w:r>
        <w:t>2. Настоящее постановление вступает в силу с 25 октября 2014 г.</w:t>
      </w:r>
    </w:p>
    <w:p w:rsidR="003A33A5" w:rsidRDefault="003A33A5">
      <w:pPr>
        <w:pStyle w:val="newncpi"/>
      </w:pPr>
      <w:r>
        <w:t> </w:t>
      </w:r>
    </w:p>
    <w:tbl>
      <w:tblPr>
        <w:tblW w:w="5000" w:type="pct"/>
        <w:tblCellMar>
          <w:left w:w="0" w:type="dxa"/>
          <w:right w:w="0" w:type="dxa"/>
        </w:tblCellMar>
        <w:tblLook w:val="04A0" w:firstRow="1" w:lastRow="0" w:firstColumn="1" w:lastColumn="0" w:noHBand="0" w:noVBand="1"/>
      </w:tblPr>
      <w:tblGrid>
        <w:gridCol w:w="4671"/>
        <w:gridCol w:w="4686"/>
      </w:tblGrid>
      <w:tr w:rsidR="003A33A5">
        <w:tc>
          <w:tcPr>
            <w:tcW w:w="2496" w:type="pct"/>
            <w:tcMar>
              <w:top w:w="0" w:type="dxa"/>
              <w:left w:w="6" w:type="dxa"/>
              <w:bottom w:w="0" w:type="dxa"/>
              <w:right w:w="6" w:type="dxa"/>
            </w:tcMar>
            <w:vAlign w:val="bottom"/>
            <w:hideMark/>
          </w:tcPr>
          <w:p w:rsidR="003A33A5" w:rsidRDefault="003A33A5">
            <w:pPr>
              <w:pStyle w:val="newncpi0"/>
              <w:jc w:val="left"/>
            </w:pPr>
            <w:r>
              <w:rPr>
                <w:rStyle w:val="post"/>
              </w:rPr>
              <w:t>Председатель</w:t>
            </w:r>
          </w:p>
        </w:tc>
        <w:tc>
          <w:tcPr>
            <w:tcW w:w="2504" w:type="pct"/>
            <w:tcMar>
              <w:top w:w="0" w:type="dxa"/>
              <w:left w:w="6" w:type="dxa"/>
              <w:bottom w:w="0" w:type="dxa"/>
              <w:right w:w="6" w:type="dxa"/>
            </w:tcMar>
            <w:vAlign w:val="bottom"/>
            <w:hideMark/>
          </w:tcPr>
          <w:p w:rsidR="003A33A5" w:rsidRDefault="003A33A5">
            <w:pPr>
              <w:pStyle w:val="newncpi0"/>
              <w:jc w:val="right"/>
            </w:pPr>
            <w:r>
              <w:rPr>
                <w:rStyle w:val="pers"/>
              </w:rPr>
              <w:t>А.Ф.Шпилевский</w:t>
            </w:r>
          </w:p>
        </w:tc>
      </w:tr>
    </w:tbl>
    <w:p w:rsidR="003A33A5" w:rsidRDefault="003A33A5">
      <w:pPr>
        <w:pStyle w:val="newncpi"/>
      </w:pPr>
      <w:r>
        <w:t> </w:t>
      </w:r>
    </w:p>
    <w:tbl>
      <w:tblPr>
        <w:tblW w:w="2950" w:type="pct"/>
        <w:tblCellMar>
          <w:left w:w="0" w:type="dxa"/>
          <w:right w:w="0" w:type="dxa"/>
        </w:tblCellMar>
        <w:tblLook w:val="04A0" w:firstRow="1" w:lastRow="0" w:firstColumn="1" w:lastColumn="0" w:noHBand="0" w:noVBand="1"/>
      </w:tblPr>
      <w:tblGrid>
        <w:gridCol w:w="2281"/>
        <w:gridCol w:w="3240"/>
      </w:tblGrid>
      <w:tr w:rsidR="003A33A5">
        <w:trPr>
          <w:trHeight w:val="240"/>
        </w:trPr>
        <w:tc>
          <w:tcPr>
            <w:tcW w:w="2066" w:type="pct"/>
            <w:tcMar>
              <w:top w:w="0" w:type="dxa"/>
              <w:left w:w="6" w:type="dxa"/>
              <w:bottom w:w="0" w:type="dxa"/>
              <w:right w:w="6" w:type="dxa"/>
            </w:tcMar>
            <w:hideMark/>
          </w:tcPr>
          <w:p w:rsidR="003A33A5" w:rsidRDefault="003A33A5">
            <w:pPr>
              <w:pStyle w:val="agree"/>
            </w:pPr>
            <w:r>
              <w:t>СОГЛАСОВАНО</w:t>
            </w:r>
          </w:p>
          <w:p w:rsidR="003A33A5" w:rsidRDefault="003A33A5">
            <w:pPr>
              <w:pStyle w:val="agree"/>
            </w:pPr>
            <w:r>
              <w:t xml:space="preserve">Министр </w:t>
            </w:r>
            <w:r>
              <w:br/>
              <w:t xml:space="preserve">сельского хозяйства </w:t>
            </w:r>
            <w:r>
              <w:br/>
              <w:t xml:space="preserve">и продовольствия </w:t>
            </w:r>
            <w:r>
              <w:br/>
              <w:t>Республики Беларусь</w:t>
            </w:r>
          </w:p>
          <w:p w:rsidR="003A33A5" w:rsidRDefault="003A33A5">
            <w:pPr>
              <w:pStyle w:val="agreefio"/>
            </w:pPr>
            <w:r>
              <w:t>Л.К.Заяц</w:t>
            </w:r>
          </w:p>
          <w:p w:rsidR="003A33A5" w:rsidRDefault="003A33A5">
            <w:pPr>
              <w:pStyle w:val="agreedate"/>
            </w:pPr>
            <w:r>
              <w:t>20.09.2014</w:t>
            </w:r>
          </w:p>
        </w:tc>
        <w:tc>
          <w:tcPr>
            <w:tcW w:w="2934" w:type="pct"/>
            <w:tcMar>
              <w:top w:w="0" w:type="dxa"/>
              <w:left w:w="6" w:type="dxa"/>
              <w:bottom w:w="0" w:type="dxa"/>
              <w:right w:w="6" w:type="dxa"/>
            </w:tcMar>
            <w:hideMark/>
          </w:tcPr>
          <w:p w:rsidR="003A33A5" w:rsidRDefault="003A33A5">
            <w:pPr>
              <w:pStyle w:val="agree"/>
            </w:pPr>
            <w:r>
              <w:t>СОГЛАСОВАНО</w:t>
            </w:r>
          </w:p>
          <w:p w:rsidR="003A33A5" w:rsidRDefault="003A33A5">
            <w:pPr>
              <w:pStyle w:val="agree"/>
            </w:pPr>
            <w:r>
              <w:t>Председатель Государственного</w:t>
            </w:r>
            <w:r>
              <w:br/>
              <w:t>пограничного комитета</w:t>
            </w:r>
            <w:r>
              <w:br/>
              <w:t>Республики Беларусь</w:t>
            </w:r>
            <w:r>
              <w:br/>
              <w:t>генерал-полковник</w:t>
            </w:r>
          </w:p>
          <w:p w:rsidR="003A33A5" w:rsidRDefault="003A33A5">
            <w:pPr>
              <w:pStyle w:val="agreefio"/>
            </w:pPr>
            <w:r>
              <w:t>Л.С.Мальцев</w:t>
            </w:r>
          </w:p>
          <w:p w:rsidR="003A33A5" w:rsidRDefault="003A33A5">
            <w:pPr>
              <w:pStyle w:val="agreedate"/>
            </w:pPr>
            <w:r>
              <w:t>24.09.2014</w:t>
            </w:r>
          </w:p>
        </w:tc>
      </w:tr>
    </w:tbl>
    <w:p w:rsidR="003A33A5" w:rsidRDefault="003A33A5">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3A33A5">
        <w:tc>
          <w:tcPr>
            <w:tcW w:w="3750" w:type="pct"/>
            <w:tcMar>
              <w:top w:w="0" w:type="dxa"/>
              <w:left w:w="6" w:type="dxa"/>
              <w:bottom w:w="0" w:type="dxa"/>
              <w:right w:w="6" w:type="dxa"/>
            </w:tcMar>
            <w:hideMark/>
          </w:tcPr>
          <w:p w:rsidR="003A33A5" w:rsidRDefault="003A33A5">
            <w:pPr>
              <w:pStyle w:val="newncpi"/>
              <w:ind w:firstLine="0"/>
            </w:pPr>
            <w:r>
              <w:t> </w:t>
            </w:r>
          </w:p>
        </w:tc>
        <w:tc>
          <w:tcPr>
            <w:tcW w:w="1250" w:type="pct"/>
            <w:tcMar>
              <w:top w:w="0" w:type="dxa"/>
              <w:left w:w="6" w:type="dxa"/>
              <w:bottom w:w="0" w:type="dxa"/>
              <w:right w:w="6" w:type="dxa"/>
            </w:tcMar>
            <w:hideMark/>
          </w:tcPr>
          <w:p w:rsidR="003A33A5" w:rsidRDefault="003A33A5">
            <w:pPr>
              <w:pStyle w:val="append1"/>
            </w:pPr>
            <w:r>
              <w:t>Приложение</w:t>
            </w:r>
          </w:p>
          <w:p w:rsidR="003A33A5" w:rsidRDefault="003A33A5">
            <w:pPr>
              <w:pStyle w:val="append"/>
            </w:pPr>
            <w:r>
              <w:t xml:space="preserve">к постановлению </w:t>
            </w:r>
            <w:r>
              <w:br/>
              <w:t xml:space="preserve">Государственного </w:t>
            </w:r>
            <w:r>
              <w:br/>
              <w:t xml:space="preserve">таможенного комитета </w:t>
            </w:r>
            <w:r>
              <w:br/>
              <w:t>Республики Беларусь</w:t>
            </w:r>
          </w:p>
          <w:p w:rsidR="003A33A5" w:rsidRDefault="003A33A5">
            <w:pPr>
              <w:pStyle w:val="append"/>
            </w:pPr>
            <w:r>
              <w:t>25.09.2014 № 50</w:t>
            </w:r>
          </w:p>
        </w:tc>
      </w:tr>
    </w:tbl>
    <w:p w:rsidR="003A33A5" w:rsidRDefault="003A33A5">
      <w:pPr>
        <w:pStyle w:val="titlep"/>
        <w:jc w:val="left"/>
      </w:pPr>
      <w:r>
        <w:lastRenderedPageBreak/>
        <w:t>Перечень и количество товаров для личного пользования, ввозимых в Республику Беларусь и вывозимых из Республики Беларусь через пункты упрощенного пропуска через Государственную границу Республики Беларусь в сопровождаемом багаже физических лиц</w:t>
      </w:r>
    </w:p>
    <w:p w:rsidR="003A33A5" w:rsidRDefault="003A33A5">
      <w:pPr>
        <w:pStyle w:val="point"/>
      </w:pPr>
      <w:r>
        <w:t>1. Одежда и обувь, имеющие видимые признаки носки, стирки, а также предметы личной гигиены при ввозе в Республику Беларусь через пункты упрощенного пропуска через Государственную границу Республики Беларусь (далее – при ввозе) и вывозе из Республики Беларусь через пункты упрощенного пропуска через Государственную границу Республики Беларусь (далее – при вывозе) – по 1 единице не более 5 наименований.</w:t>
      </w:r>
    </w:p>
    <w:p w:rsidR="003A33A5" w:rsidRDefault="003A33A5">
      <w:pPr>
        <w:pStyle w:val="point"/>
      </w:pPr>
      <w:r>
        <w:t>2. Продукты питания растительного происхождения, за исключением указанных в пункте 3 настоящего перечня, явно предназначенные для личного потребления, при ввозе и при вывозе – до 5 кг в совокупности, но не более 1 кг 1 наименования, при этом чая – до 0,25 кг, кофе – до 0,25 кг, пряностей – до 0,3 кг.</w:t>
      </w:r>
    </w:p>
    <w:p w:rsidR="003A33A5" w:rsidRDefault="003A33A5">
      <w:pPr>
        <w:pStyle w:val="point"/>
      </w:pPr>
      <w:r>
        <w:t>3. Дикорастущие грибы, ягоды при ввозе и при вывозе – до 5 кг.</w:t>
      </w:r>
    </w:p>
    <w:p w:rsidR="003A33A5" w:rsidRDefault="003A33A5">
      <w:pPr>
        <w:pStyle w:val="point"/>
      </w:pPr>
      <w:r>
        <w:t>4. Алкогольные напитки, за исключением пива, при вывозе – не более 1 л в расчете на одно физическое лицо, достигшее 18-летнего возраста.</w:t>
      </w:r>
    </w:p>
    <w:p w:rsidR="003A33A5" w:rsidRDefault="003A33A5">
      <w:pPr>
        <w:pStyle w:val="point"/>
      </w:pPr>
      <w:r>
        <w:t>5. Пиво при вывозе – не более 2 л в расчете на одно физическое лицо, достигшее 18-летнего возраста.</w:t>
      </w:r>
    </w:p>
    <w:p w:rsidR="003A33A5" w:rsidRDefault="003A33A5">
      <w:pPr>
        <w:pStyle w:val="point"/>
      </w:pPr>
      <w:r>
        <w:t>6. Сигареты или изделия с нагреваемым табаком («стики») при ввозе и при вывозе – не более 40 штук в расчете на одно физическое лицо, достигшее 18-летнего возраста.</w:t>
      </w:r>
    </w:p>
    <w:p w:rsidR="003A33A5" w:rsidRDefault="003A33A5">
      <w:pPr>
        <w:pStyle w:val="newncpi"/>
      </w:pPr>
      <w:r>
        <w:t>Табак или иные табачные изделия при ввозе и при вывозе – не более 40 г в расчете на 1 физическое лицо, достигшее 18-летнего возраста.</w:t>
      </w:r>
    </w:p>
    <w:p w:rsidR="003A33A5" w:rsidRDefault="003A33A5">
      <w:pPr>
        <w:pStyle w:val="point"/>
      </w:pPr>
      <w:r>
        <w:t>7. Товары, предназначенные для религиозных обрядов, ритуалов, культов, церемоний, при ввозе и при вывозе – по 1 единице каждого наименования.</w:t>
      </w:r>
    </w:p>
    <w:p w:rsidR="003A33A5" w:rsidRDefault="003A33A5">
      <w:pPr>
        <w:pStyle w:val="point"/>
      </w:pPr>
      <w:r>
        <w:t>8. Лопаты, грабли, косы, вилы, тяпки, мотыги, корзины, ведра при ввозе и при вывозе – по 1 единице каждого наименования.</w:t>
      </w:r>
    </w:p>
    <w:p w:rsidR="003A33A5" w:rsidRDefault="003A33A5">
      <w:pPr>
        <w:pStyle w:val="point"/>
      </w:pPr>
      <w:r>
        <w:t>9. Медицинская аптечка, огнетушитель, знак аварийной остановки, домкрат, запасное колесо, два противооткатных упора, буксировочный трос, насос ручной или ножной пневматический автомобильный либо электрический (компрессор) для накачки автомобильных шин, работающий от бортовой сети автомобиля, ручной инструмент для снятия и установки колес, плавкие предохранители и пять ламп внешних световых приборов, а также аудиовидеоаппаратура, установленная заводом-изготовителем транспортного средства либо уполномоченной на осуществление такой деятельности организацией, при ввозе и при вывозе в легковых автомобилях и прочих моторных транспортных средствах, предназначенных главным образом для перевозки людей, классифицируемых в товарной позиции 8703 единой Товарной номенклатуры внешнеэкономической деятельности Евразийского экономического союза, за исключением квадроциклов и снегоходов, следующими на них физическими лицами.</w:t>
      </w:r>
    </w:p>
    <w:p w:rsidR="003A33A5" w:rsidRDefault="003A33A5">
      <w:pPr>
        <w:pStyle w:val="point"/>
      </w:pPr>
      <w:r>
        <w:t>10. Имеющие видимые признаки эксплуатации портативные компьютеры (ноутбуки), фото-, видеокамеры, портативные радиоприемники, GPS-навигаторы, а также необходимые для их использования принадлежности при ввозе и при вывозе – по 1 единице каждого наименования.</w:t>
      </w:r>
    </w:p>
    <w:p w:rsidR="003A33A5" w:rsidRDefault="003A33A5">
      <w:pPr>
        <w:pStyle w:val="point"/>
      </w:pPr>
      <w:r>
        <w:t>11. Наличные денежные средства и (или) дорожные чеки при ввозе и при вывозе – на сумму, не подлежащую таможенному декларированию в письменной форме в соответствии с подпунктом 7 пункта 1 статьи 260 Таможенного кодекса Евразийского экономического союза.</w:t>
      </w:r>
    </w:p>
    <w:p w:rsidR="003A33A5" w:rsidRDefault="003A33A5">
      <w:pPr>
        <w:pStyle w:val="point"/>
      </w:pPr>
      <w:r>
        <w:t>12. Имеющие видимые признаки эксплуатации велосипеды при следовании на нем физического лица при ввозе и при вывозе – по 1 единице.</w:t>
      </w:r>
    </w:p>
    <w:p w:rsidR="003A33A5" w:rsidRDefault="003A33A5">
      <w:pPr>
        <w:pStyle w:val="point"/>
      </w:pPr>
      <w:r>
        <w:t>13. Имеющие видимые признаки эксплуатации детские коляски при следовании в ней ребенка при ввозе и при вывозе – по 1 единице.</w:t>
      </w:r>
    </w:p>
    <w:p w:rsidR="003A33A5" w:rsidRDefault="003A33A5">
      <w:pPr>
        <w:pStyle w:val="newncpi"/>
      </w:pPr>
      <w:r>
        <w:t> </w:t>
      </w:r>
    </w:p>
    <w:p w:rsidR="00064A71" w:rsidRDefault="00064A71"/>
    <w:sectPr w:rsidR="00064A71" w:rsidSect="003A33A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D6" w:rsidRDefault="00F275D6" w:rsidP="003A33A5">
      <w:pPr>
        <w:spacing w:after="0" w:line="240" w:lineRule="auto"/>
      </w:pPr>
      <w:r>
        <w:separator/>
      </w:r>
    </w:p>
  </w:endnote>
  <w:endnote w:type="continuationSeparator" w:id="0">
    <w:p w:rsidR="00F275D6" w:rsidRDefault="00F275D6" w:rsidP="003A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A5" w:rsidRDefault="003A33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A5" w:rsidRDefault="003A33A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A33A5" w:rsidTr="003A33A5">
      <w:tc>
        <w:tcPr>
          <w:tcW w:w="1800" w:type="dxa"/>
          <w:shd w:val="clear" w:color="auto" w:fill="auto"/>
          <w:vAlign w:val="center"/>
        </w:tcPr>
        <w:p w:rsidR="003A33A5" w:rsidRDefault="003A33A5">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A33A5" w:rsidRDefault="003A33A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A33A5" w:rsidRDefault="003A33A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08.07.2024</w:t>
          </w:r>
        </w:p>
        <w:p w:rsidR="003A33A5" w:rsidRPr="003A33A5" w:rsidRDefault="003A33A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A33A5" w:rsidRDefault="003A33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D6" w:rsidRDefault="00F275D6" w:rsidP="003A33A5">
      <w:pPr>
        <w:spacing w:after="0" w:line="240" w:lineRule="auto"/>
      </w:pPr>
      <w:r>
        <w:separator/>
      </w:r>
    </w:p>
  </w:footnote>
  <w:footnote w:type="continuationSeparator" w:id="0">
    <w:p w:rsidR="00F275D6" w:rsidRDefault="00F275D6" w:rsidP="003A3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A5" w:rsidRDefault="003A33A5" w:rsidP="006A4B6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A33A5" w:rsidRDefault="003A33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A5" w:rsidRPr="003A33A5" w:rsidRDefault="003A33A5" w:rsidP="006A4B69">
    <w:pPr>
      <w:pStyle w:val="a3"/>
      <w:framePr w:wrap="around" w:vAnchor="text" w:hAnchor="margin" w:xAlign="center" w:y="1"/>
      <w:rPr>
        <w:rStyle w:val="a7"/>
        <w:rFonts w:ascii="Times New Roman" w:hAnsi="Times New Roman" w:cs="Times New Roman"/>
        <w:sz w:val="24"/>
      </w:rPr>
    </w:pPr>
    <w:r w:rsidRPr="003A33A5">
      <w:rPr>
        <w:rStyle w:val="a7"/>
        <w:rFonts w:ascii="Times New Roman" w:hAnsi="Times New Roman" w:cs="Times New Roman"/>
        <w:sz w:val="24"/>
      </w:rPr>
      <w:fldChar w:fldCharType="begin"/>
    </w:r>
    <w:r w:rsidRPr="003A33A5">
      <w:rPr>
        <w:rStyle w:val="a7"/>
        <w:rFonts w:ascii="Times New Roman" w:hAnsi="Times New Roman" w:cs="Times New Roman"/>
        <w:sz w:val="24"/>
      </w:rPr>
      <w:instrText xml:space="preserve">PAGE  </w:instrText>
    </w:r>
    <w:r w:rsidRPr="003A33A5">
      <w:rPr>
        <w:rStyle w:val="a7"/>
        <w:rFonts w:ascii="Times New Roman" w:hAnsi="Times New Roman" w:cs="Times New Roman"/>
        <w:sz w:val="24"/>
      </w:rPr>
      <w:fldChar w:fldCharType="separate"/>
    </w:r>
    <w:r>
      <w:rPr>
        <w:rStyle w:val="a7"/>
        <w:rFonts w:ascii="Times New Roman" w:hAnsi="Times New Roman" w:cs="Times New Roman"/>
        <w:noProof/>
        <w:sz w:val="24"/>
      </w:rPr>
      <w:t>3</w:t>
    </w:r>
    <w:r w:rsidRPr="003A33A5">
      <w:rPr>
        <w:rStyle w:val="a7"/>
        <w:rFonts w:ascii="Times New Roman" w:hAnsi="Times New Roman" w:cs="Times New Roman"/>
        <w:sz w:val="24"/>
      </w:rPr>
      <w:fldChar w:fldCharType="end"/>
    </w:r>
  </w:p>
  <w:p w:rsidR="003A33A5" w:rsidRPr="003A33A5" w:rsidRDefault="003A33A5">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3A5" w:rsidRDefault="003A33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A5"/>
    <w:rsid w:val="00064A71"/>
    <w:rsid w:val="003A33A5"/>
    <w:rsid w:val="00F2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A69DB6-A9EC-40D6-9446-CF955FD0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3A33A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3A33A5"/>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3A33A5"/>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3A33A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3A33A5"/>
    <w:pPr>
      <w:spacing w:after="0" w:line="240" w:lineRule="auto"/>
    </w:pPr>
    <w:rPr>
      <w:rFonts w:ascii="Times New Roman" w:eastAsiaTheme="minorEastAsia" w:hAnsi="Times New Roman" w:cs="Times New Roman"/>
      <w:lang w:eastAsia="ru-RU"/>
    </w:rPr>
  </w:style>
  <w:style w:type="paragraph" w:customStyle="1" w:styleId="agreefio">
    <w:name w:val="agreefio"/>
    <w:basedOn w:val="a"/>
    <w:rsid w:val="003A33A5"/>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A33A5"/>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A33A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A33A5"/>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A33A5"/>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3A33A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A33A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A33A5"/>
    <w:rPr>
      <w:rFonts w:ascii="Times New Roman" w:hAnsi="Times New Roman" w:cs="Times New Roman" w:hint="default"/>
      <w:caps/>
    </w:rPr>
  </w:style>
  <w:style w:type="character" w:customStyle="1" w:styleId="promulgator">
    <w:name w:val="promulgator"/>
    <w:basedOn w:val="a0"/>
    <w:rsid w:val="003A33A5"/>
    <w:rPr>
      <w:rFonts w:ascii="Times New Roman" w:hAnsi="Times New Roman" w:cs="Times New Roman" w:hint="default"/>
      <w:caps/>
    </w:rPr>
  </w:style>
  <w:style w:type="character" w:customStyle="1" w:styleId="datepr">
    <w:name w:val="datepr"/>
    <w:basedOn w:val="a0"/>
    <w:rsid w:val="003A33A5"/>
    <w:rPr>
      <w:rFonts w:ascii="Times New Roman" w:hAnsi="Times New Roman" w:cs="Times New Roman" w:hint="default"/>
    </w:rPr>
  </w:style>
  <w:style w:type="character" w:customStyle="1" w:styleId="number">
    <w:name w:val="number"/>
    <w:basedOn w:val="a0"/>
    <w:rsid w:val="003A33A5"/>
    <w:rPr>
      <w:rFonts w:ascii="Times New Roman" w:hAnsi="Times New Roman" w:cs="Times New Roman" w:hint="default"/>
    </w:rPr>
  </w:style>
  <w:style w:type="character" w:customStyle="1" w:styleId="post">
    <w:name w:val="post"/>
    <w:basedOn w:val="a0"/>
    <w:rsid w:val="003A33A5"/>
    <w:rPr>
      <w:rFonts w:ascii="Times New Roman" w:hAnsi="Times New Roman" w:cs="Times New Roman" w:hint="default"/>
      <w:b/>
      <w:bCs/>
      <w:sz w:val="22"/>
      <w:szCs w:val="22"/>
    </w:rPr>
  </w:style>
  <w:style w:type="character" w:customStyle="1" w:styleId="pers">
    <w:name w:val="pers"/>
    <w:basedOn w:val="a0"/>
    <w:rsid w:val="003A33A5"/>
    <w:rPr>
      <w:rFonts w:ascii="Times New Roman" w:hAnsi="Times New Roman" w:cs="Times New Roman" w:hint="default"/>
      <w:b/>
      <w:bCs/>
      <w:sz w:val="22"/>
      <w:szCs w:val="22"/>
    </w:rPr>
  </w:style>
  <w:style w:type="paragraph" w:styleId="a3">
    <w:name w:val="header"/>
    <w:basedOn w:val="a"/>
    <w:link w:val="a4"/>
    <w:uiPriority w:val="99"/>
    <w:unhideWhenUsed/>
    <w:rsid w:val="003A33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33A5"/>
  </w:style>
  <w:style w:type="paragraph" w:styleId="a5">
    <w:name w:val="footer"/>
    <w:basedOn w:val="a"/>
    <w:link w:val="a6"/>
    <w:uiPriority w:val="99"/>
    <w:unhideWhenUsed/>
    <w:rsid w:val="003A33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33A5"/>
  </w:style>
  <w:style w:type="character" w:styleId="a7">
    <w:name w:val="page number"/>
    <w:basedOn w:val="a0"/>
    <w:uiPriority w:val="99"/>
    <w:semiHidden/>
    <w:unhideWhenUsed/>
    <w:rsid w:val="003A33A5"/>
  </w:style>
  <w:style w:type="table" w:styleId="a8">
    <w:name w:val="Table Grid"/>
    <w:basedOn w:val="a1"/>
    <w:uiPriority w:val="39"/>
    <w:rsid w:val="003A3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5001</Characters>
  <Application>Microsoft Office Word</Application>
  <DocSecurity>0</DocSecurity>
  <Lines>113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2024-07-08T06:30:00Z</dcterms:created>
  <dcterms:modified xsi:type="dcterms:W3CDTF">2024-07-08T06:30:00Z</dcterms:modified>
</cp:coreProperties>
</file>